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-5080</wp:posOffset>
                </wp:positionV>
                <wp:extent cx="6142355" cy="4822825"/>
                <wp:effectExtent l="0" t="0" r="10795" b="1587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355" cy="4822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80" w:beforeLines="50" w:after="0"/>
                              <w:jc w:val="center"/>
                              <w:rPr>
                                <w:rFonts w:ascii="微软雅黑" w:hAnsi="微软雅黑"/>
                                <w:b/>
                                <w:color w:val="0070C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color w:val="0070C0"/>
                                <w:sz w:val="48"/>
                                <w:szCs w:val="48"/>
                                <w:lang w:val="en-US" w:eastAsia="zh-CN"/>
                              </w:rPr>
                              <w:t>TD886移动扫码车载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0070C0"/>
                                <w:sz w:val="48"/>
                                <w:szCs w:val="48"/>
                              </w:rPr>
                              <w:t>终端</w:t>
                            </w:r>
                          </w:p>
                          <w:p>
                            <w:pPr>
                              <w:spacing w:after="180" w:afterLines="50"/>
                              <w:jc w:val="center"/>
                              <w:rPr>
                                <w:rFonts w:ascii="微软雅黑" w:hAnsi="微软雅黑"/>
                                <w:color w:val="595959" w:themeColor="text1" w:themeTint="A6"/>
                                <w:sz w:val="30"/>
                                <w:szCs w:val="3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595959" w:themeColor="text1" w:themeTint="A6"/>
                                <w:sz w:val="30"/>
                                <w:szCs w:val="3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4G网络 </w:t>
                            </w:r>
                            <w:r>
                              <w:rPr>
                                <w:rFonts w:hint="eastAsia" w:ascii="微软雅黑" w:hAnsi="微软雅黑"/>
                                <w:color w:val="595959" w:themeColor="text1" w:themeTint="A6"/>
                                <w:sz w:val="30"/>
                                <w:szCs w:val="3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二维码支付</w:t>
                            </w:r>
                            <w:r>
                              <w:rPr>
                                <w:rFonts w:hint="eastAsia" w:ascii="微软雅黑" w:hAnsi="微软雅黑"/>
                                <w:color w:val="595959" w:themeColor="text1" w:themeTint="A6"/>
                                <w:sz w:val="30"/>
                                <w:szCs w:val="3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语音播报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eastAsia" w:ascii="微软雅黑" w:hAnsi="微软雅黑" w:eastAsia="微软雅黑"/>
                                <w:b/>
                                <w:color w:val="48B94C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595959" w:themeColor="text1" w:themeTint="A6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drawing>
                                <wp:inline distT="0" distB="0" distL="114300" distR="114300">
                                  <wp:extent cx="3399790" cy="3399790"/>
                                  <wp:effectExtent l="0" t="0" r="0" b="0"/>
                                  <wp:docPr id="2" name="图片 2" descr="IMG_20180301_0937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IMG_20180301_09374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9790" cy="33997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1.2pt;margin-top:-0.4pt;height:379.75pt;width:483.65pt;z-index:251660288;mso-width-relative:page;mso-height-relative:page;" fillcolor="#FFFFFF" filled="t" stroked="f" coordsize="21600,21600" o:gfxdata="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yJGzy1wAA&#10;AAgBAAAPAAAAAAAAAAEAIAAAACIAAABkcnMvZG93bnJldi54bWxQSwECFAAUAAAACACHTuJAsVt4&#10;r60BAAAzAwAADgAAAAAAAAABACAAAAAm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80" w:beforeLines="50" w:after="0"/>
                        <w:jc w:val="center"/>
                        <w:rPr>
                          <w:rFonts w:ascii="微软雅黑" w:hAnsi="微软雅黑"/>
                          <w:b/>
                          <w:color w:val="0070C0"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color w:val="0070C0"/>
                          <w:sz w:val="48"/>
                          <w:szCs w:val="48"/>
                          <w:lang w:val="en-US" w:eastAsia="zh-CN"/>
                        </w:rPr>
                        <w:t>TD886移动扫码车载</w:t>
                      </w:r>
                      <w:r>
                        <w:rPr>
                          <w:rFonts w:hint="eastAsia" w:ascii="微软雅黑" w:hAnsi="微软雅黑"/>
                          <w:b/>
                          <w:color w:val="0070C0"/>
                          <w:sz w:val="48"/>
                          <w:szCs w:val="48"/>
                        </w:rPr>
                        <w:t>终端</w:t>
                      </w:r>
                    </w:p>
                    <w:p>
                      <w:pPr>
                        <w:spacing w:after="180" w:afterLines="50"/>
                        <w:jc w:val="center"/>
                        <w:rPr>
                          <w:rFonts w:ascii="微软雅黑" w:hAnsi="微软雅黑"/>
                          <w:color w:val="595959" w:themeColor="text1" w:themeTint="A6"/>
                          <w:sz w:val="30"/>
                          <w:szCs w:val="3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color w:val="595959" w:themeColor="text1" w:themeTint="A6"/>
                          <w:sz w:val="30"/>
                          <w:szCs w:val="3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4G网络 </w:t>
                      </w:r>
                      <w:r>
                        <w:rPr>
                          <w:rFonts w:hint="eastAsia" w:ascii="微软雅黑" w:hAnsi="微软雅黑"/>
                          <w:color w:val="595959" w:themeColor="text1" w:themeTint="A6"/>
                          <w:sz w:val="30"/>
                          <w:szCs w:val="30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二维码支付</w:t>
                      </w:r>
                      <w:r>
                        <w:rPr>
                          <w:rFonts w:hint="eastAsia" w:ascii="微软雅黑" w:hAnsi="微软雅黑"/>
                          <w:color w:val="595959" w:themeColor="text1" w:themeTint="A6"/>
                          <w:sz w:val="30"/>
                          <w:szCs w:val="3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语音播报</w:t>
                      </w:r>
                    </w:p>
                    <w:p>
                      <w:pPr>
                        <w:spacing w:after="0"/>
                        <w:jc w:val="center"/>
                        <w:rPr>
                          <w:rFonts w:hint="eastAsia" w:ascii="微软雅黑" w:hAnsi="微软雅黑" w:eastAsia="微软雅黑"/>
                          <w:b/>
                          <w:color w:val="48B94C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595959" w:themeColor="text1" w:themeTint="A6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drawing>
                          <wp:inline distT="0" distB="0" distL="114300" distR="114300">
                            <wp:extent cx="3399790" cy="3399790"/>
                            <wp:effectExtent l="0" t="0" r="0" b="0"/>
                            <wp:docPr id="2" name="图片 2" descr="IMG_20180301_0937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IMG_20180301_09374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9790" cy="33997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0" w:name="_GoBack"/>
      <w:bookmarkEnd w:id="0"/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rPr>
          <w:rFonts w:hint="eastAsia" w:ascii="微软雅黑" w:hAnsi="微软雅黑" w:eastAsia="微软雅黑"/>
          <w:b/>
          <w:color w:val="595959" w:themeColor="text1" w:themeTint="A6"/>
          <w:sz w:val="44"/>
          <w:szCs w:val="44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rPr>
          <w:rFonts w:ascii="微软雅黑" w:hAnsi="微软雅黑"/>
          <w:b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pStyle w:val="17"/>
        <w:numPr>
          <w:ilvl w:val="0"/>
          <w:numId w:val="1"/>
        </w:numPr>
        <w:spacing w:after="72" w:afterLines="20"/>
        <w:ind w:firstLineChars="0"/>
        <w:rPr>
          <w:rFonts w:ascii="微软雅黑" w:hAnsi="微软雅黑"/>
          <w:b/>
          <w:color w:val="0070C0"/>
          <w:sz w:val="28"/>
          <w:szCs w:val="28"/>
        </w:rPr>
      </w:pPr>
      <w:r>
        <w:rPr>
          <w:rFonts w:hint="eastAsia" w:ascii="微软雅黑" w:hAnsi="微软雅黑"/>
          <w:b/>
          <w:color w:val="0070C0"/>
          <w:sz w:val="28"/>
          <w:szCs w:val="28"/>
          <w:lang w:eastAsia="zh-CN"/>
        </w:rPr>
        <w:t>车载</w:t>
      </w:r>
      <w:r>
        <w:rPr>
          <w:rFonts w:hint="eastAsia" w:ascii="微软雅黑" w:hAnsi="微软雅黑"/>
          <w:b/>
          <w:color w:val="0070C0"/>
          <w:sz w:val="28"/>
          <w:szCs w:val="28"/>
        </w:rPr>
        <w:t>无线数据传输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TD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886是一款车载无线POS终端，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集成了扫码支付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刷卡、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4G通讯、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语音、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屏幕显示等功能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。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交易速度快，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秒内完成支付，稳定可靠。双卡双待，保障通信可靠。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适用于城市交通的移动支付、刷卡、电子车票验证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。</w:t>
      </w:r>
    </w:p>
    <w:p>
      <w:pPr>
        <w:pStyle w:val="17"/>
        <w:numPr>
          <w:ilvl w:val="0"/>
          <w:numId w:val="1"/>
        </w:numPr>
        <w:spacing w:after="72" w:afterLines="20"/>
        <w:ind w:firstLineChars="0"/>
        <w:rPr>
          <w:rFonts w:ascii="微软雅黑" w:hAnsi="微软雅黑"/>
          <w:b/>
          <w:color w:val="0070C0"/>
          <w:sz w:val="28"/>
          <w:szCs w:val="28"/>
        </w:rPr>
      </w:pPr>
      <w:r>
        <w:rPr>
          <w:rFonts w:hint="eastAsia" w:ascii="微软雅黑" w:hAnsi="微软雅黑"/>
          <w:b/>
          <w:color w:val="0070C0"/>
          <w:sz w:val="28"/>
          <w:szCs w:val="28"/>
          <w:lang w:eastAsia="zh-CN"/>
        </w:rPr>
        <w:t>支持多种消费方式</w:t>
      </w:r>
    </w:p>
    <w:p>
      <w:pPr>
        <w:pStyle w:val="17"/>
        <w:numPr>
          <w:ilvl w:val="0"/>
          <w:numId w:val="3"/>
        </w:numPr>
        <w:spacing w:after="72" w:afterLines="20"/>
        <w:ind w:firstLineChars="0"/>
        <w:rPr>
          <w:rFonts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支持脱机消费、银联卡联机消费、支付宝支付、微信支付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、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支持银联闪付功能</w:t>
      </w:r>
    </w:p>
    <w:p>
      <w:pPr>
        <w:pStyle w:val="17"/>
        <w:numPr>
          <w:ilvl w:val="0"/>
          <w:numId w:val="3"/>
        </w:numPr>
        <w:spacing w:after="72" w:afterLines="20"/>
        <w:ind w:firstLineChars="0"/>
        <w:rPr>
          <w:rFonts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可独自实现随机消费、定值消费、定价消费、计次消费查询功能。可以通过定值消费实现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，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例如全程2元的收费方式，同时也可以通过定价消费实现按照路程收费方式。更可以通过计次消费实现计次打折功能。</w:t>
      </w:r>
    </w:p>
    <w:p>
      <w:pPr>
        <w:pStyle w:val="17"/>
        <w:numPr>
          <w:ilvl w:val="0"/>
          <w:numId w:val="1"/>
        </w:numPr>
        <w:spacing w:after="72" w:afterLines="20"/>
        <w:ind w:firstLineChars="0"/>
        <w:rPr>
          <w:rFonts w:ascii="微软雅黑" w:hAnsi="微软雅黑"/>
          <w:b/>
          <w:color w:val="0070C0"/>
          <w:sz w:val="28"/>
          <w:szCs w:val="28"/>
        </w:rPr>
      </w:pPr>
      <w:r>
        <w:rPr>
          <w:rFonts w:hint="eastAsia" w:ascii="微软雅黑" w:hAnsi="微软雅黑"/>
          <w:b/>
          <w:color w:val="0070C0"/>
          <w:sz w:val="28"/>
          <w:szCs w:val="28"/>
          <w:lang w:eastAsia="zh-CN"/>
        </w:rPr>
        <w:t>集多功能于一体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报表功能</w:t>
      </w: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在每台公交机上查询累计的消费金额和当天消费金额，并外接微型打印机打印出小票。</w:t>
      </w:r>
    </w:p>
    <w:p>
      <w:pPr>
        <w:pStyle w:val="17"/>
        <w:numPr>
          <w:ilvl w:val="0"/>
          <w:numId w:val="0"/>
        </w:numPr>
        <w:spacing w:after="72" w:afterLines="20"/>
        <w:ind w:left="418" w:leftChars="190" w:firstLine="0" w:firstLine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智慧公交系统管理后台上面有每笔消费的数据，提供下载。并且还可以自定义数据表格形式，使你清楚每台公交每天的运营数据，提高公交管理水平。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便捷有效的清分功能</w:t>
      </w: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智慧公交系统，当消费机产生消费交易时，交易数据直接在云服务器中产生，不用采集，即可有完整的数据报表。小到每台公交车，大到每个区域的交易都清晰明了。公交管理总部可以依据系统里详细明细的数据报表，根据自身的实际的情况来进行合理的管理。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GPS定位功能 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通过GPS定位提高运营管理，实现资源的优化配置，提高企业效率，实现公交企业管理现代化，容易智能城市建设系统。比如最简单的车辆以及路线监控、车速监控、路况监控，精准定位公交车，对抵达时间预估以及晚点预警。</w:t>
      </w:r>
    </w:p>
    <w:p>
      <w:pPr>
        <w:pStyle w:val="17"/>
        <w:numPr>
          <w:ilvl w:val="0"/>
          <w:numId w:val="2"/>
        </w:numPr>
        <w:spacing w:after="72" w:afterLines="20"/>
        <w:ind w:firstLine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实名制与黑名单</w:t>
      </w: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韦尔讯智慧公交系统可实现实名制，在管理后台可以看到每一台车上车的乘客的具体信息，可以对公交进行有效的管理。同时可以打击在公交车上作案的不法分子，提高公交运营的安全性，有利于维护社会安全，</w:t>
      </w:r>
      <w:r>
        <w:rPr>
          <w:rFonts w:hint="eastAsia" w:ascii="微软雅黑" w:hAnsi="微软雅黑"/>
          <w:color w:val="595959" w:themeColor="text1" w:themeTint="A6"/>
          <w:kern w:val="2"/>
          <w:sz w:val="21"/>
          <w:lang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还可以</w:t>
      </w:r>
      <w:r>
        <w:rPr>
          <w:rFonts w:hint="eastAsia" w:ascii="微软雅黑" w:hAnsi="微软雅黑"/>
          <w:color w:val="595959" w:themeColor="text1" w:themeTint="A6"/>
          <w:kern w:val="2"/>
          <w:sz w:val="21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实现对卡进行黑名单。如果乘客的卡遗失了，可以及时对卡进行挂失，将卡注销或者列入黑名单，保证乘客的资金安全，提高乘客的乘车体验。</w:t>
      </w:r>
    </w:p>
    <w:p>
      <w:pPr>
        <w:pStyle w:val="17"/>
        <w:numPr>
          <w:ilvl w:val="0"/>
          <w:numId w:val="0"/>
        </w:numPr>
        <w:spacing w:after="72" w:afterLines="20"/>
        <w:ind w:leftChars="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108" w:afterLines="30"/>
        <w:rPr>
          <w:rFonts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TD886车载终端</w:t>
      </w:r>
      <w:r>
        <w:rPr>
          <w:rFonts w:hint="eastAsia" w:ascii="微软雅黑" w:hAnsi="微软雅黑"/>
          <w:b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系统配置</w:t>
      </w:r>
    </w:p>
    <w:tbl>
      <w:tblPr>
        <w:tblStyle w:val="10"/>
        <w:tblW w:w="9781" w:type="dxa"/>
        <w:tblInd w:w="-34" w:type="dxa"/>
        <w:tblBorders>
          <w:top w:val="single" w:color="00B0F0" w:sz="4" w:space="0"/>
          <w:left w:val="single" w:color="00B0F0" w:sz="4" w:space="0"/>
          <w:bottom w:val="single" w:color="00B0F0" w:sz="4" w:space="0"/>
          <w:right w:val="single" w:color="00B0F0" w:sz="4" w:space="0"/>
          <w:insideH w:val="single" w:color="00B0F0" w:sz="4" w:space="0"/>
          <w:insideV w:val="single" w:color="00B0F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371"/>
      </w:tblGrid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处理器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freescale ARM9  主频454Mhz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存储器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128MB DDR2  128MB NAND FLASH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显示器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4.3寸TFT彩色屏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指示灯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2个指示灯，指示电源及通讯状态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按键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4个功能键（按键数量可定制）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蜂鸣器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支持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通讯接口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两个USB2.0（HOST/DEVICE）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定位模式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GPS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支持条码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QR Code，Code 128, Code 93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无线通信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4G/3G/2G  WIFI  蓝牙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SIM卡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支持移动 联通 2G 3G 4G 卡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电源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电源：9-24V，带过压，过流，反接保护，欠压保护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加密方式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软件加密，加密算法支持DES、3DES、RSA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工作环境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温度：-20℃～50℃；相对湿度：5℅～93℅（非冷凝）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存储环境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温度：－20℃～60℃；相对湿度：5℅～95℅（非冷凝）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物理尺寸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227mm*140mm*99mm</w:t>
            </w:r>
          </w:p>
        </w:tc>
      </w:tr>
      <w:tr>
        <w:tblPrEx>
          <w:tblBorders>
            <w:top w:val="single" w:color="00B0F0" w:sz="4" w:space="0"/>
            <w:left w:val="single" w:color="00B0F0" w:sz="4" w:space="0"/>
            <w:bottom w:val="single" w:color="00B0F0" w:sz="4" w:space="0"/>
            <w:right w:val="single" w:color="00B0F0" w:sz="4" w:space="0"/>
            <w:insideH w:val="single" w:color="00B0F0" w:sz="4" w:space="0"/>
            <w:insideV w:val="single" w:color="00B0F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其他特性</w:t>
            </w:r>
          </w:p>
        </w:tc>
        <w:tc>
          <w:tcPr>
            <w:tcW w:w="7371" w:type="dxa"/>
            <w:shd w:val="clear" w:color="auto" w:fill="auto"/>
            <w:vAlign w:val="center"/>
          </w:tcPr>
          <w:p>
            <w:pPr>
              <w:spacing w:after="0"/>
              <w:jc w:val="both"/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"/>
                <w:sz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提供二次开发平台</w:t>
            </w:r>
          </w:p>
        </w:tc>
      </w:tr>
    </w:tbl>
    <w:p>
      <w:pPr>
        <w:spacing w:line="239" w:lineRule="auto"/>
        <w:rPr>
          <w:rFonts w:hint="eastAsia" w:ascii="微软雅黑" w:hAnsi="微软雅黑"/>
          <w:color w:val="595959"/>
          <w:lang w:eastAsia="zh-CN"/>
        </w:rPr>
      </w:pPr>
    </w:p>
    <w:p>
      <w:pPr>
        <w:jc w:val="both"/>
        <w:rPr>
          <w:rFonts w:ascii="微软雅黑" w:hAnsi="微软雅黑" w:eastAsia="微软雅黑"/>
          <w:b/>
          <w:color w:val="595959"/>
          <w:sz w:val="21"/>
        </w:rPr>
      </w:pPr>
      <w:r>
        <w:rPr>
          <w:rFonts w:hint="eastAsia" w:ascii="微软雅黑" w:hAnsi="微软雅黑" w:eastAsia="微软雅黑"/>
          <w:b/>
          <w:color w:val="595959"/>
          <w:sz w:val="21"/>
          <w:lang w:eastAsia="zh-CN"/>
        </w:rPr>
        <w:t>广州市韦尔讯信息科技</w:t>
      </w:r>
      <w:r>
        <w:rPr>
          <w:rFonts w:ascii="微软雅黑" w:hAnsi="微软雅黑" w:eastAsia="微软雅黑"/>
          <w:b/>
          <w:color w:val="595959"/>
          <w:sz w:val="21"/>
        </w:rPr>
        <w:t>有限公司</w:t>
      </w:r>
    </w:p>
    <w:p>
      <w:pPr>
        <w:spacing w:line="239" w:lineRule="auto"/>
        <w:rPr>
          <w:rFonts w:ascii="微软雅黑" w:hAnsi="微软雅黑" w:eastAsia="微软雅黑"/>
          <w:b/>
          <w:color w:val="595959"/>
          <w:sz w:val="16"/>
          <w:szCs w:val="15"/>
        </w:rPr>
      </w:pPr>
      <w:r>
        <w:rPr>
          <w:rFonts w:hint="eastAsia" w:ascii="微软雅黑" w:hAnsi="微软雅黑" w:eastAsia="微软雅黑"/>
          <w:b/>
          <w:color w:val="595959"/>
          <w:sz w:val="16"/>
          <w:szCs w:val="15"/>
          <w:lang w:val="en-US" w:eastAsia="zh-CN"/>
        </w:rPr>
        <w:t>GUANGZHOU WINSON INFORMATION</w:t>
      </w:r>
      <w:r>
        <w:rPr>
          <w:rFonts w:ascii="微软雅黑" w:hAnsi="微软雅黑" w:eastAsia="微软雅黑"/>
          <w:b/>
          <w:color w:val="595959"/>
          <w:sz w:val="16"/>
          <w:szCs w:val="15"/>
        </w:rPr>
        <w:t xml:space="preserve"> TECHNOLOGY </w:t>
      </w:r>
      <w:r>
        <w:rPr>
          <w:rFonts w:hint="eastAsia" w:ascii="微软雅黑" w:hAnsi="微软雅黑" w:eastAsia="微软雅黑"/>
          <w:b/>
          <w:color w:val="595959"/>
          <w:sz w:val="16"/>
          <w:szCs w:val="15"/>
          <w:lang w:val="en-US" w:eastAsia="zh-CN"/>
        </w:rPr>
        <w:t>CO.,</w:t>
      </w:r>
      <w:r>
        <w:rPr>
          <w:rFonts w:ascii="微软雅黑" w:hAnsi="微软雅黑" w:eastAsia="微软雅黑"/>
          <w:b/>
          <w:color w:val="595959"/>
          <w:sz w:val="16"/>
          <w:szCs w:val="15"/>
        </w:rPr>
        <w:t xml:space="preserve"> LTD.</w:t>
      </w:r>
    </w:p>
    <w:p>
      <w:pPr>
        <w:spacing w:line="239" w:lineRule="auto"/>
        <w:rPr>
          <w:rFonts w:hint="eastAsia" w:ascii="微软雅黑" w:hAnsi="微软雅黑" w:eastAsia="微软雅黑"/>
          <w:color w:val="595959"/>
          <w:lang w:val="en-US" w:eastAsia="zh-CN"/>
        </w:rPr>
      </w:pPr>
      <w:r>
        <w:rPr>
          <w:rFonts w:hint="eastAsia" w:ascii="微软雅黑" w:hAnsi="微软雅黑"/>
          <w:color w:val="595959"/>
          <w:lang w:eastAsia="zh-CN"/>
        </w:rPr>
        <w:t>地址：</w:t>
      </w:r>
      <w:r>
        <w:rPr>
          <w:rFonts w:hint="eastAsia" w:ascii="微软雅黑" w:hAnsi="微软雅黑" w:eastAsia="微软雅黑"/>
          <w:color w:val="595959"/>
          <w:lang w:eastAsia="zh-CN"/>
        </w:rPr>
        <w:t>广州市天河区东圃黄村路</w:t>
      </w:r>
      <w:r>
        <w:rPr>
          <w:rFonts w:hint="eastAsia" w:ascii="微软雅黑" w:hAnsi="微软雅黑" w:eastAsia="微软雅黑"/>
          <w:color w:val="595959"/>
          <w:lang w:val="en-US" w:eastAsia="zh-CN"/>
        </w:rPr>
        <w:t>59号粤安工业园C栋首层</w:t>
      </w:r>
    </w:p>
    <w:p>
      <w:pPr>
        <w:spacing w:line="310" w:lineRule="auto"/>
        <w:ind w:right="20"/>
        <w:jc w:val="both"/>
        <w:rPr>
          <w:rFonts w:ascii="微软雅黑" w:hAnsi="微软雅黑"/>
          <w:color w:val="595959" w:themeColor="text1" w:themeTint="A6"/>
          <w:sz w:val="21"/>
          <w:szCs w:val="18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微软雅黑" w:hAnsi="微软雅黑" w:eastAsia="微软雅黑"/>
          <w:color w:val="595959"/>
          <w:sz w:val="21"/>
        </w:rPr>
        <w:t>电话：</w:t>
      </w:r>
      <w:r>
        <w:rPr>
          <w:rFonts w:hint="eastAsia" w:ascii="微软雅黑" w:hAnsi="微软雅黑" w:eastAsia="微软雅黑"/>
          <w:color w:val="595959"/>
          <w:sz w:val="21"/>
          <w:lang w:val="en-US" w:eastAsia="zh-CN"/>
        </w:rPr>
        <w:t>8620-82510810</w:t>
      </w:r>
      <w:r>
        <w:rPr>
          <w:rFonts w:hint="eastAsia" w:ascii="微软雅黑" w:hAnsi="微软雅黑"/>
          <w:color w:val="595959"/>
          <w:sz w:val="21"/>
          <w:lang w:val="en-US" w:eastAsia="zh-CN"/>
        </w:rPr>
        <w:t xml:space="preserve">      </w:t>
      </w:r>
      <w:r>
        <w:rPr>
          <w:rFonts w:ascii="微软雅黑" w:hAnsi="微软雅黑" w:eastAsia="微软雅黑"/>
          <w:color w:val="595959"/>
          <w:sz w:val="21"/>
        </w:rPr>
        <w:t>传真：</w:t>
      </w:r>
      <w:r>
        <w:rPr>
          <w:rFonts w:hint="eastAsia" w:ascii="微软雅黑" w:hAnsi="微软雅黑" w:eastAsia="微软雅黑"/>
          <w:color w:val="595959"/>
          <w:sz w:val="21"/>
          <w:lang w:val="en-US" w:eastAsia="zh-CN"/>
        </w:rPr>
        <w:t>8620</w:t>
      </w:r>
      <w:r>
        <w:rPr>
          <w:rFonts w:ascii="微软雅黑" w:hAnsi="微软雅黑" w:eastAsia="微软雅黑"/>
          <w:color w:val="595959"/>
          <w:sz w:val="21"/>
        </w:rPr>
        <w:t>-8</w:t>
      </w:r>
      <w:r>
        <w:rPr>
          <w:rFonts w:hint="eastAsia" w:ascii="微软雅黑" w:hAnsi="微软雅黑" w:eastAsia="微软雅黑"/>
          <w:color w:val="595959"/>
          <w:sz w:val="21"/>
          <w:lang w:val="en-US" w:eastAsia="zh-CN"/>
        </w:rPr>
        <w:t>2510436</w:t>
      </w:r>
      <w:r>
        <w:rPr>
          <w:rFonts w:hint="eastAsia" w:ascii="微软雅黑" w:hAnsi="微软雅黑"/>
          <w:color w:val="595959"/>
          <w:sz w:val="21"/>
          <w:lang w:val="en-US" w:eastAsia="zh-CN"/>
        </w:rPr>
        <w:t xml:space="preserve">           </w:t>
      </w:r>
      <w:r>
        <w:rPr>
          <w:rFonts w:ascii="微软雅黑" w:hAnsi="微软雅黑" w:eastAsia="微软雅黑"/>
          <w:color w:val="595959"/>
          <w:sz w:val="21"/>
        </w:rPr>
        <w:t>网址：www.</w:t>
      </w:r>
      <w:r>
        <w:rPr>
          <w:rFonts w:hint="eastAsia" w:ascii="微软雅黑" w:hAnsi="微软雅黑" w:eastAsia="微软雅黑"/>
          <w:color w:val="595959"/>
          <w:sz w:val="21"/>
          <w:lang w:val="en-US" w:eastAsia="zh-CN"/>
        </w:rPr>
        <w:t>winson</w:t>
      </w:r>
      <w:r>
        <w:rPr>
          <w:rFonts w:ascii="微软雅黑" w:hAnsi="微软雅黑" w:eastAsia="微软雅黑"/>
          <w:color w:val="595959"/>
          <w:sz w:val="21"/>
        </w:rPr>
        <w:t>china.com</w:t>
      </w:r>
      <w:r>
        <w:rPr>
          <w:rFonts w:hint="eastAsia" w:ascii="微软雅黑" w:hAnsi="微软雅黑" w:eastAsia="微软雅黑"/>
          <w:color w:val="595959"/>
          <w:sz w:val="21"/>
          <w:lang w:val="en-US" w:eastAsia="zh-CN"/>
        </w:rPr>
        <w:t>.cn</w:t>
      </w:r>
    </w:p>
    <w:sectPr>
      <w:headerReference r:id="rId3" w:type="default"/>
      <w:footerReference r:id="rId4" w:type="default"/>
      <w:pgSz w:w="11906" w:h="16838"/>
      <w:pgMar w:top="1304" w:right="1134" w:bottom="1191" w:left="1134" w:header="567" w:footer="454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i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rPr>
        <w:rFonts w:hint="eastAsia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 xml:space="preserve">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832485" cy="260985"/>
          <wp:effectExtent l="0" t="0" r="5715" b="5715"/>
          <wp:docPr id="3" name="图片 3" descr="C:\Users\honggf\AppData\Local\Temp\WeChat Files\8857604102250205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honggf\AppData\Local\Temp\WeChat Files\8857604102250205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0209" cy="266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                                   </w:t>
    </w:r>
    <w:r>
      <w:t xml:space="preserve">        </w:t>
    </w:r>
    <w:r>
      <w:rPr>
        <w:rFonts w:hint="eastAsia"/>
        <w:lang w:val="en-US" w:eastAsia="zh-CN"/>
      </w:rPr>
      <w:t xml:space="preserve">  TD</w:t>
    </w:r>
    <w:r>
      <w:rPr>
        <w:rFonts w:hint="eastAsia" w:ascii="微软雅黑" w:hAnsi="微软雅黑"/>
        <w:color w:val="595959" w:themeColor="text1" w:themeTint="A6"/>
        <w:lang w:val="en-US"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>886</w:t>
    </w:r>
    <w:r>
      <w:rPr>
        <w:rFonts w:hint="eastAsia" w:ascii="微软雅黑" w:hAnsi="微软雅黑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>产品规格书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B05"/>
    <w:multiLevelType w:val="multilevel"/>
    <w:tmpl w:val="059C5B05"/>
    <w:lvl w:ilvl="0" w:tentative="0">
      <w:start w:val="1"/>
      <w:numFmt w:val="bullet"/>
      <w:lvlText w:val="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FDA5A25"/>
    <w:multiLevelType w:val="multilevel"/>
    <w:tmpl w:val="0FDA5A2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31F37EE"/>
    <w:multiLevelType w:val="multilevel"/>
    <w:tmpl w:val="431F37EE"/>
    <w:lvl w:ilvl="0" w:tentative="0">
      <w:start w:val="1"/>
      <w:numFmt w:val="bullet"/>
      <w:lvlText w:val="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0F9"/>
    <w:rsid w:val="000218EA"/>
    <w:rsid w:val="000254EB"/>
    <w:rsid w:val="00026080"/>
    <w:rsid w:val="00046D74"/>
    <w:rsid w:val="0005108A"/>
    <w:rsid w:val="00053668"/>
    <w:rsid w:val="00096D3A"/>
    <w:rsid w:val="00184316"/>
    <w:rsid w:val="0019638F"/>
    <w:rsid w:val="001C0FC8"/>
    <w:rsid w:val="001E34EF"/>
    <w:rsid w:val="00221DA0"/>
    <w:rsid w:val="00227D86"/>
    <w:rsid w:val="002427CF"/>
    <w:rsid w:val="002806CA"/>
    <w:rsid w:val="002838D2"/>
    <w:rsid w:val="00283CE2"/>
    <w:rsid w:val="002B191B"/>
    <w:rsid w:val="002B64A0"/>
    <w:rsid w:val="00312AD9"/>
    <w:rsid w:val="00323B43"/>
    <w:rsid w:val="00344784"/>
    <w:rsid w:val="00361802"/>
    <w:rsid w:val="003C130E"/>
    <w:rsid w:val="003C73CF"/>
    <w:rsid w:val="003D37D8"/>
    <w:rsid w:val="00411FA7"/>
    <w:rsid w:val="00426572"/>
    <w:rsid w:val="004358AB"/>
    <w:rsid w:val="00463F42"/>
    <w:rsid w:val="00470FAD"/>
    <w:rsid w:val="00476C44"/>
    <w:rsid w:val="004A04F5"/>
    <w:rsid w:val="004A263E"/>
    <w:rsid w:val="004E2F51"/>
    <w:rsid w:val="00500B43"/>
    <w:rsid w:val="00520E96"/>
    <w:rsid w:val="005709EC"/>
    <w:rsid w:val="005B1783"/>
    <w:rsid w:val="005B7A93"/>
    <w:rsid w:val="005F141B"/>
    <w:rsid w:val="005F76C9"/>
    <w:rsid w:val="00676AAD"/>
    <w:rsid w:val="006920F9"/>
    <w:rsid w:val="00694B1C"/>
    <w:rsid w:val="006B3ECF"/>
    <w:rsid w:val="006D70D7"/>
    <w:rsid w:val="006E1A6E"/>
    <w:rsid w:val="00724D2A"/>
    <w:rsid w:val="007602B7"/>
    <w:rsid w:val="00766FEA"/>
    <w:rsid w:val="007841F8"/>
    <w:rsid w:val="007B0461"/>
    <w:rsid w:val="00862D9B"/>
    <w:rsid w:val="00866361"/>
    <w:rsid w:val="00876F99"/>
    <w:rsid w:val="00885D5B"/>
    <w:rsid w:val="008B2BDD"/>
    <w:rsid w:val="008B7726"/>
    <w:rsid w:val="008C4FB0"/>
    <w:rsid w:val="008F4EE3"/>
    <w:rsid w:val="00901CD1"/>
    <w:rsid w:val="009070D5"/>
    <w:rsid w:val="009168F8"/>
    <w:rsid w:val="00927402"/>
    <w:rsid w:val="00927463"/>
    <w:rsid w:val="00930B78"/>
    <w:rsid w:val="0095005A"/>
    <w:rsid w:val="00954764"/>
    <w:rsid w:val="0097092A"/>
    <w:rsid w:val="00970A8B"/>
    <w:rsid w:val="0097770D"/>
    <w:rsid w:val="009966AE"/>
    <w:rsid w:val="009B1334"/>
    <w:rsid w:val="009C1619"/>
    <w:rsid w:val="009D2524"/>
    <w:rsid w:val="00A174B9"/>
    <w:rsid w:val="00AB7312"/>
    <w:rsid w:val="00AC49C3"/>
    <w:rsid w:val="00AC4CC9"/>
    <w:rsid w:val="00AD6A99"/>
    <w:rsid w:val="00AE2815"/>
    <w:rsid w:val="00AF3530"/>
    <w:rsid w:val="00B1407B"/>
    <w:rsid w:val="00BD224F"/>
    <w:rsid w:val="00BD5F5F"/>
    <w:rsid w:val="00BF0DC3"/>
    <w:rsid w:val="00C017AC"/>
    <w:rsid w:val="00C018FA"/>
    <w:rsid w:val="00C02F96"/>
    <w:rsid w:val="00CA0EDF"/>
    <w:rsid w:val="00CA7EBC"/>
    <w:rsid w:val="00CB68E0"/>
    <w:rsid w:val="00CC5432"/>
    <w:rsid w:val="00D03590"/>
    <w:rsid w:val="00D07F90"/>
    <w:rsid w:val="00D41824"/>
    <w:rsid w:val="00D563E6"/>
    <w:rsid w:val="00D84394"/>
    <w:rsid w:val="00D92267"/>
    <w:rsid w:val="00DA6B93"/>
    <w:rsid w:val="00DB7B4C"/>
    <w:rsid w:val="00DD474F"/>
    <w:rsid w:val="00DE5878"/>
    <w:rsid w:val="00E221E7"/>
    <w:rsid w:val="00E40E8C"/>
    <w:rsid w:val="00E63138"/>
    <w:rsid w:val="00EA48DF"/>
    <w:rsid w:val="00EB39D3"/>
    <w:rsid w:val="00EC04F0"/>
    <w:rsid w:val="00EE218D"/>
    <w:rsid w:val="00EF70A0"/>
    <w:rsid w:val="00F066D8"/>
    <w:rsid w:val="00F072E1"/>
    <w:rsid w:val="00F23367"/>
    <w:rsid w:val="00F4249E"/>
    <w:rsid w:val="00F42C55"/>
    <w:rsid w:val="00F60CA4"/>
    <w:rsid w:val="00FC451E"/>
    <w:rsid w:val="083207E4"/>
    <w:rsid w:val="0C3372E9"/>
    <w:rsid w:val="0E276527"/>
    <w:rsid w:val="11A817DF"/>
    <w:rsid w:val="1D612CDB"/>
    <w:rsid w:val="21604D4E"/>
    <w:rsid w:val="247146B6"/>
    <w:rsid w:val="25770CEC"/>
    <w:rsid w:val="30F4622C"/>
    <w:rsid w:val="390A05B3"/>
    <w:rsid w:val="3F3308D2"/>
    <w:rsid w:val="3F4D4019"/>
    <w:rsid w:val="466348E6"/>
    <w:rsid w:val="49357D95"/>
    <w:rsid w:val="4DEB4590"/>
    <w:rsid w:val="4E876642"/>
    <w:rsid w:val="4F161DAC"/>
    <w:rsid w:val="55852209"/>
    <w:rsid w:val="56FD5D19"/>
    <w:rsid w:val="570578A2"/>
    <w:rsid w:val="66DA0460"/>
    <w:rsid w:val="6E775C76"/>
    <w:rsid w:val="6FCD6CE0"/>
    <w:rsid w:val="70A6305A"/>
    <w:rsid w:val="70AA4904"/>
    <w:rsid w:val="73DF0A14"/>
    <w:rsid w:val="75D802B7"/>
    <w:rsid w:val="75E51E39"/>
    <w:rsid w:val="7A08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3">
    <w:name w:val="Balloon Text"/>
    <w:basedOn w:val="1"/>
    <w:link w:val="13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table" w:styleId="10">
    <w:name w:val="Table Grid"/>
    <w:basedOn w:val="9"/>
    <w:qFormat/>
    <w:uiPriority w:val="59"/>
    <w:rPr>
      <w:rFonts w:eastAsiaTheme="minorEastAsia"/>
      <w:kern w:val="2"/>
      <w:sz w:val="21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2">
    <w:name w:val="批注文字 字符"/>
    <w:basedOn w:val="7"/>
    <w:link w:val="2"/>
    <w:qFormat/>
    <w:uiPriority w:val="99"/>
    <w:rPr>
      <w:rFonts w:eastAsiaTheme="minorEastAsia"/>
      <w:kern w:val="2"/>
      <w:sz w:val="21"/>
    </w:rPr>
  </w:style>
  <w:style w:type="character" w:customStyle="1" w:styleId="13">
    <w:name w:val="批注框文本 字符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字符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apple-converted-space"/>
    <w:basedOn w:val="7"/>
    <w:qFormat/>
    <w:uiPriority w:val="0"/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907B45-47D8-4953-B919-48E1B7D093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260</Words>
  <Characters>1484</Characters>
  <Lines>12</Lines>
  <Paragraphs>3</Paragraphs>
  <ScaleCrop>false</ScaleCrop>
  <LinksUpToDate>false</LinksUpToDate>
  <CharactersWithSpaces>1741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2015-07-12T14:56:00Z</dcterms:created>
  <dc:creator>iData-MTK</dc:creator>
  <cp:lastModifiedBy>醉清风1382791983</cp:lastModifiedBy>
  <cp:lastPrinted>2015-12-24T08:57:00Z</cp:lastPrinted>
  <dcterms:modified xsi:type="dcterms:W3CDTF">2018-06-01T08:18:59Z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